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Georgia" w:hAnsi="Georgia"/>
          <w:b/>
          <w:color w:val="111111"/>
          <w:sz w:val="56"/>
        </w:rPr>
        <w:t>Trousse de campagne communautaire</w:t>
      </w:r>
    </w:p>
    <w:p>
      <w:pPr>
        <w:spacing w:after="200"/>
      </w:pPr>
      <w:r>
        <w:rPr>
          <w:rFonts w:ascii="Aptos" w:hAnsi="Aptos"/>
          <w:b w:val="0"/>
          <w:color w:val="666666"/>
          <w:sz w:val="23"/>
        </w:rPr>
        <w:t>Un guide pratique pour les quartiers, associations, groupes culturels, lieux de culte, clubs, municipalités et équipes communautaires.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C99A22"/>
          </w:tcPr>
          <w:p>
            <w:r>
              <w:t xml:space="preserve"> </w:t>
            </w:r>
          </w:p>
        </w:tc>
      </w:tr>
    </w:tbl>
    <w:p>
      <w:pPr>
        <w:spacing w:after="40"/>
      </w:pPr>
    </w:p>
    <w:p>
      <w:pPr>
        <w:pStyle w:val="Heading1"/>
      </w:pPr>
      <w:r>
        <w:t>Le but de cette trousse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Cette trousse aide votre communauté à organiser une participation locale simple, visible et mesurable à la Campagne du Ruban Noir. Utilisez-la pour inviter les gens à faire le serment, porter le Ruban Noir, commander ou distribuer des rubans, partager des photos approuvées et inviter d’autres personnes à participer.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4F1EB"/>
            <w:tcBorders>
              <w:top w:val="single" w:sz="6" w:color="C99A22"/>
              <w:left w:val="single" w:sz="6" w:color="C99A22"/>
              <w:bottom w:val="single" w:sz="6" w:color="C99A22"/>
              <w:right w:val="single" w:sz="6" w:color="C99A22"/>
            </w:tcBorders>
          </w:tcPr>
          <w:p>
            <w:r>
              <w:rPr>
                <w:rFonts w:ascii="Aptos" w:hAnsi="Aptos"/>
                <w:b/>
                <w:color w:val="C99A22"/>
                <w:sz w:val="21"/>
              </w:rPr>
              <w:t>ENGAGEMENT</w:t>
              <w:br/>
            </w:r>
            <w:r>
              <w:rPr>
                <w:rFonts w:ascii="Aptos" w:hAnsi="Aptos"/>
                <w:b w:val="0"/>
                <w:color w:val="111111"/>
                <w:sz w:val="20"/>
              </w:rPr>
              <w:t>« Je m’engage à porter le Ruban Noir comme symbole d’unité, de force et de solidarité dans la lutte contre le racisme et l’intolérance. »</w:t>
            </w:r>
          </w:p>
        </w:tc>
      </w:tr>
    </w:tbl>
    <w:p>
      <w:pPr>
        <w:spacing w:after="20"/>
      </w:pPr>
    </w:p>
    <w:p>
      <w:pPr>
        <w:pStyle w:val="Heading1"/>
      </w:pPr>
      <w:r>
        <w:t>Ce que votre communauté peut faire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Organiser une campagne locale d’engagement à l’aide du code QR de la campagne.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Commander des rubans ou organiser un point local de distribution.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Tenir un kiosque, une rencontre, une activité communautaire ou une courte présentation.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Inviter les écoles, milieux de travail, organismes et groupes locaux à participer.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Partager des photos et histoires approuvées de personnes portant le Ruban Noir.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Utiliser vos liens et codes QR suivis pour mesurer la participation locale.</w:t>
      </w:r>
    </w:p>
    <w:p>
      <w:pPr>
        <w:pStyle w:val="Heading1"/>
      </w:pPr>
      <w:r>
        <w:t>Équipe communautaire recommandée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Responsable communautaire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Coordonne le calendrier, les partenaires et les suivis.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Responsable des rubans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Gère les commandes, la distribution et les quantités.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Responsable mobilisation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Invite les groupes locaux et coordonne les communications.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Responsable médias/photos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Gère les photos, le consentement et les histoires communautaires.</w:t>
            </w:r>
          </w:p>
        </w:tc>
      </w:tr>
      <w:tr>
        <w:tc>
          <w:tcPr>
            <w:tcW w:type="dxa" w:w="5083"/>
            <w:shd w:fill="F4F1EB"/>
            <w:vAlign w:val="center"/>
          </w:tcPr>
          <w:p>
            <w:r>
              <w:rPr>
                <w:rFonts w:ascii="Aptos" w:hAnsi="Aptos"/>
                <w:b/>
                <w:color w:val="111111"/>
                <w:sz w:val="19"/>
              </w:rPr>
              <w:t>Bénévoles</w:t>
            </w:r>
          </w:p>
        </w:tc>
        <w:tc>
          <w:tcPr>
            <w:tcW w:type="dxa" w:w="5083"/>
            <w:vAlign w:val="center"/>
          </w:tcPr>
          <w:p>
            <w:r>
              <w:rPr>
                <w:rFonts w:ascii="Aptos" w:hAnsi="Aptos"/>
                <w:b w:val="0"/>
                <w:color w:val="111111"/>
                <w:sz w:val="19"/>
              </w:rPr>
              <w:t>Aident au kiosque, aux QR, aux rubans et à l’accueil.</w:t>
            </w:r>
          </w:p>
        </w:tc>
      </w:tr>
    </w:tbl>
    <w:p>
      <w:pPr>
        <w:pStyle w:val="Heading1"/>
      </w:pPr>
      <w:r>
        <w:t>Plan de lancement en 7 jours</w:t>
      </w:r>
    </w:p>
    <w:p>
      <w:pPr>
        <w:pStyle w:val="ListNumber"/>
        <w:spacing w:after="60"/>
      </w:pPr>
      <w:r>
        <w:rPr>
          <w:rFonts w:ascii="Aptos" w:hAnsi="Aptos"/>
          <w:b w:val="0"/>
          <w:color w:val="111111"/>
          <w:sz w:val="20"/>
        </w:rPr>
        <w:t>Jour 1 : nommez le responsable, fixez votre objectif et confirmez l’endroit ou le réseau communautaire.</w:t>
      </w:r>
    </w:p>
    <w:p>
      <w:pPr>
        <w:pStyle w:val="ListNumber"/>
        <w:spacing w:after="60"/>
      </w:pPr>
      <w:r>
        <w:rPr>
          <w:rFonts w:ascii="Aptos" w:hAnsi="Aptos"/>
          <w:b w:val="0"/>
          <w:color w:val="111111"/>
          <w:sz w:val="20"/>
        </w:rPr>
        <w:t>Jour 2 : partagez le lien d’engagement et le code QR avec les partenaires locaux.</w:t>
      </w:r>
    </w:p>
    <w:p>
      <w:pPr>
        <w:pStyle w:val="ListNumber"/>
        <w:spacing w:after="60"/>
      </w:pPr>
      <w:r>
        <w:rPr>
          <w:rFonts w:ascii="Aptos" w:hAnsi="Aptos"/>
          <w:b w:val="0"/>
          <w:color w:val="111111"/>
          <w:sz w:val="20"/>
        </w:rPr>
        <w:t>Jour 3 : commandez les rubans nécessaires ou confirmez le plan de distribution.</w:t>
      </w:r>
    </w:p>
    <w:p>
      <w:pPr>
        <w:pStyle w:val="ListNumber"/>
        <w:spacing w:after="60"/>
      </w:pPr>
      <w:r>
        <w:rPr>
          <w:rFonts w:ascii="Aptos" w:hAnsi="Aptos"/>
          <w:b w:val="0"/>
          <w:color w:val="111111"/>
          <w:sz w:val="20"/>
        </w:rPr>
        <w:t>Jour 4 : publiez l’annonce communautaire et envoyez l’invitation aux groupes locaux.</w:t>
      </w:r>
    </w:p>
    <w:p>
      <w:pPr>
        <w:pStyle w:val="ListNumber"/>
        <w:spacing w:after="60"/>
      </w:pPr>
      <w:r>
        <w:rPr>
          <w:rFonts w:ascii="Aptos" w:hAnsi="Aptos"/>
          <w:b w:val="0"/>
          <w:color w:val="111111"/>
          <w:sz w:val="20"/>
        </w:rPr>
        <w:t>Jour 5 : confirmez les bénévoles, la signalétique, les QR et le matériel.</w:t>
      </w:r>
    </w:p>
    <w:p>
      <w:pPr>
        <w:pStyle w:val="ListNumber"/>
        <w:spacing w:after="60"/>
      </w:pPr>
      <w:r>
        <w:rPr>
          <w:rFonts w:ascii="Aptos" w:hAnsi="Aptos"/>
          <w:b w:val="0"/>
          <w:color w:val="111111"/>
          <w:sz w:val="20"/>
        </w:rPr>
        <w:t>Jour 6 : tenez l’activité, recueillez les engagements et distribuez les rubans.</w:t>
      </w:r>
    </w:p>
    <w:p>
      <w:pPr>
        <w:pStyle w:val="ListNumber"/>
        <w:spacing w:after="60"/>
      </w:pPr>
      <w:r>
        <w:rPr>
          <w:rFonts w:ascii="Aptos" w:hAnsi="Aptos"/>
          <w:b w:val="0"/>
          <w:color w:val="111111"/>
          <w:sz w:val="20"/>
        </w:rPr>
        <w:t>Jour 7 : remerciez les participants, soumettez les photos approuvées et faites le bilan.</w:t>
      </w:r>
    </w:p>
    <w:p>
      <w:pPr>
        <w:pStyle w:val="Heading1"/>
      </w:pPr>
      <w:r>
        <w:t>À votre kiosque ou activité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Afficher le code QR « Faire le serment » sur une tablette, un téléphone ou une affiche.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Afficher séparément le code QR « Commander un Ruban Noir ».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Prévoir un espace clair pour les rubans, le matériel imprimé et les bénévoles.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Ne jamais publier de coordonnées privées de bénévoles ou participants.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Obtenir le consentement avant de soumettre des photos à la galerie publique.</w:t>
      </w:r>
    </w:p>
    <w:p>
      <w:pPr>
        <w:pStyle w:val="Heading1"/>
      </w:pPr>
      <w:r>
        <w:t>Message communautaire prêt à utiliser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4F1EB"/>
            <w:tcBorders>
              <w:top w:val="single" w:sz="6" w:color="C99A22"/>
              <w:left w:val="single" w:sz="6" w:color="C99A22"/>
              <w:bottom w:val="single" w:sz="6" w:color="C99A22"/>
              <w:right w:val="single" w:sz="6" w:color="C99A22"/>
            </w:tcBorders>
          </w:tcPr>
          <w:p>
            <w:r>
              <w:rPr>
                <w:rFonts w:ascii="Aptos" w:hAnsi="Aptos"/>
                <w:b/>
                <w:color w:val="C99A22"/>
                <w:sz w:val="21"/>
              </w:rPr>
              <w:t>MESSAGE</w:t>
              <w:br/>
            </w:r>
            <w:r>
              <w:rPr>
                <w:rFonts w:ascii="Aptos" w:hAnsi="Aptos"/>
                <w:b w:val="0"/>
                <w:color w:val="111111"/>
                <w:sz w:val="20"/>
              </w:rPr>
              <w:t>Notre communauté se joint à la Campagne du Ruban Noir. Nous invitons les résidents, familles, groupes, écoles, milieux de travail et organismes à porter le Ruban Noir comme symbole d’unité, de force et de solidarité dans la lutte contre le racisme et l’intolérance. Faites le serment, obtenez votre ruban et partagez le message : blackribboncampaign.com</w:t>
            </w:r>
          </w:p>
        </w:tc>
      </w:tr>
    </w:tbl>
    <w:p>
      <w:pPr>
        <w:spacing w:after="20"/>
      </w:pPr>
    </w:p>
    <w:p>
      <w:pPr>
        <w:pStyle w:val="Heading1"/>
      </w:pPr>
      <w:r>
        <w:t>Mesurer la participation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Nombre de personnes ayant fait le serment.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Nombre de rubans commandés ou distribués.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Nombre de bénévoles et partenaires locaux.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Nombre d’écoles, milieux de travail ou organismes mobilisés.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Nombre de photos/histoires approuvées soumises.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Ce qui a fonctionné et ce qui devrait être amélioré.</w:t>
      </w:r>
    </w:p>
    <w:p>
      <w:pPr>
        <w:pStyle w:val="Heading1"/>
      </w:pPr>
      <w:r>
        <w:t>Principes de participation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Participation volontaire, respectueuse et inclusive.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Le symbole doit rester centré sur l’unité, la force, la solidarité et l’action contre le racisme et l’intolérance.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Protégez les renseignements personnels; publiez uniquement ce que les participants ont accepté de rendre public.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Pour les enfants et jeunes, suivez les règles de consentement de l’école, de l’organisme et des parents/tuteurs.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4F1EB"/>
            <w:tcBorders>
              <w:top w:val="single" w:sz="6" w:color="C99A22"/>
              <w:left w:val="single" w:sz="6" w:color="C99A22"/>
              <w:bottom w:val="single" w:sz="6" w:color="C99A22"/>
              <w:right w:val="single" w:sz="6" w:color="C99A22"/>
            </w:tcBorders>
          </w:tcPr>
          <w:p>
            <w:r>
              <w:rPr>
                <w:rFonts w:ascii="Aptos" w:hAnsi="Aptos"/>
                <w:b/>
                <w:color w:val="C99A22"/>
                <w:sz w:val="21"/>
              </w:rPr>
              <w:t>PROCHAINE ÉTAPE</w:t>
              <w:br/>
            </w:r>
            <w:r>
              <w:rPr>
                <w:rFonts w:ascii="Aptos" w:hAnsi="Aptos"/>
                <w:b w:val="0"/>
                <w:color w:val="111111"/>
                <w:sz w:val="20"/>
              </w:rPr>
              <w:t>Choisissez un responsable, fixez un objectif communautaire, puis ouvrez blackribboncampaign.com pour accéder aux QR, aux ressources et aux outils de suivi.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66666"/>
        <w:sz w:val="15"/>
      </w:rPr>
      <w:t>Black Ribbon Campaign  |  Unity • Strength • Solidarity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080"/>
      <w:gridCol w:w="8496"/>
    </w:tblGrid>
    <w:tr>
      <w:tc>
        <w:tcPr>
          <w:tcW w:type="dxa" w:w="5083"/>
        </w:tcPr>
        <w:p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ibbon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83"/>
        </w:tcPr>
        <w:p>
          <w:pPr>
            <w:jc w:val="right"/>
          </w:pPr>
          <w:r>
            <w:rPr>
              <w:rFonts w:ascii="Aptos" w:hAnsi="Aptos"/>
              <w:b/>
              <w:color w:val="111111"/>
              <w:sz w:val="18"/>
            </w:rPr>
            <w:t>BLACK RIBBON CAMPAIGN</w:t>
          </w:r>
          <w:r>
            <w:rPr>
              <w:rFonts w:ascii="Aptos" w:hAnsi="Aptos"/>
              <w:b w:val="0"/>
              <w:color w:val="C99A22"/>
              <w:sz w:val="15"/>
            </w:rPr>
            <w:br/>
            <w:t>BLACKRIBBONCAMPAIGN.COM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1111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99A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11111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