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Ordre du jour — Réunion de lancement communautaire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Modèle de réunion de 45 à 60 minutes.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Communauté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Date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Responsable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Lieu / lien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</w:tbl>
    <w:p>
      <w:pPr>
        <w:pStyle w:val="Heading1"/>
      </w:pPr>
      <w:r>
        <w:t>Ordre du jour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11111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Temps</w:t>
            </w:r>
          </w:p>
        </w:tc>
        <w:tc>
          <w:tcPr>
            <w:tcW w:type="dxa" w:w="5083"/>
            <w:shd w:fill="111111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Sujet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5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Bienvenue, objectif et signification du Ruban Noir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Objectif local : engagements, rubans, partenaires et portée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Plan : date, lieu, QR, rubans, signalétique et bénévoles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Mobilisation des écoles, milieux de travail, organismes et familles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Communications, médias sociaux, photos et consentement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Répartition des rôles et prochaines étapes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5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Questions et confirmation de la prochaine réunion</w:t>
            </w:r>
          </w:p>
        </w:tc>
      </w:tr>
    </w:tbl>
    <w:p>
      <w:pPr>
        <w:pStyle w:val="Heading1"/>
      </w:pPr>
      <w:r>
        <w:t>Décisions et actions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