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color w:val="111111"/>
        </w:rPr>
        <w:t>TROUSSE RADIO ET MÉDIAS</w:t>
      </w:r>
    </w:p>
    <w:p>
      <w:pPr>
        <w:jc w:val="left"/>
      </w:pPr>
      <w:r>
        <w:rPr>
          <w:b/>
          <w:color w:val="996A00"/>
          <w:sz w:val="24"/>
        </w:rPr>
        <w:t>Scripts, lectures en direct, courriels de prise de contact et points d’entrevue</w:t>
      </w:r>
    </w:p>
    <w:tbl>
      <w:tblPr>
        <w:tblW w:type="auto" w:w="0"/>
        <w:tblLayout w:type="fixed"/>
        <w:tblLook w:firstColumn="1" w:firstRow="1" w:lastColumn="0" w:lastRow="0" w:noHBand="0" w:noVBand="1" w:val="04A0"/>
      </w:tblPr>
      <w:tblGrid>
        <w:gridCol w:w="9936"/>
      </w:tblGrid>
      <w:tr>
        <w:tc>
          <w:tcPr>
            <w:tcW w:type="dxa" w:w="10224"/>
            <w:shd w:fill="D6A526"/>
          </w:tcPr>
          <w:p>
            <w:r/>
          </w:p>
        </w:tc>
      </w:tr>
    </w:tbl>
    <w:p>
      <w:r>
        <w:t>Cette trousse aide les stations de radio, balados, animateurs et médias communautaires à présenter la Campagne du Ruban Noir en français.</w:t>
      </w:r>
    </w:p>
    <w:p>
      <w:pPr>
        <w:pStyle w:val="Heading1"/>
      </w:pPr>
      <w:r>
        <w:t>Message de 15 secondes</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SCRIPT</w:t>
              <w:br/>
            </w:r>
            <w:r>
              <w:t>Portez un Ruban Noir comme symbole d’unité, de force et de solidarité dans la lutte contre le racisme et l’intolérance. Portez du noir le premier et le dernier jour de février. Prenez l’engagement à blackribboncampaign.com.</w:t>
            </w:r>
          </w:p>
        </w:tc>
      </w:tr>
    </w:tbl>
    <w:p/>
    <w:p>
      <w:pPr>
        <w:pStyle w:val="Heading1"/>
      </w:pPr>
      <w:r>
        <w:t>Message de 30 secondes</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SCRIPT</w:t>
              <w:br/>
            </w:r>
            <w:r>
              <w:t>Un petit symbole peut porter un grand message. La Campagne du Ruban Noir invite les personnes, familles, écoles, milieux de travail et communautés à porter un Ruban Noir comme symbole d’unité, de force et de solidarité dans la lutte contre le racisme et l’intolérance. Portez du noir le premier et le dernier jour de février. Prenez l’engagement et découvrez les ressources à blackribboncampaign.com.</w:t>
            </w:r>
          </w:p>
        </w:tc>
      </w:tr>
    </w:tbl>
    <w:p/>
    <w:p>
      <w:pPr>
        <w:pStyle w:val="Heading1"/>
      </w:pPr>
      <w:r>
        <w:t>Message de 60 secondes</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rPr>
                <w:b/>
              </w:rPr>
              <w:t>SCRIPT</w:t>
              <w:br/>
            </w:r>
            <w:r>
              <w:t>Pendant le Mois de l’histoire des Noirs, la Campagne du Ruban Noir invite les communautés à se rassembler autour d’un symbole simple et visible. Portez un Ruban Noir comme symbole d’unité, de force et de solidarité dans la lutte contre le racisme et l’intolérance. Portez du noir le premier et le dernier jour de février, prenez l’engagement, invitez votre école, votre milieu de travail ou votre organisation à participer et partagez le message. Un ruban. Un message. Un mouvement. Pour participer, visitez blackribboncampaign.com.</w:t>
            </w:r>
          </w:p>
        </w:tc>
      </w:tr>
    </w:tbl>
    <w:p/>
    <w:p>
      <w:r>
        <w:br w:type="page"/>
      </w:r>
    </w:p>
    <w:p>
      <w:pPr>
        <w:pStyle w:val="Heading1"/>
      </w:pPr>
      <w:r>
        <w:t>Lecture en direct pour animateur</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Cette semaine, nous mettons en lumière la Campagne du Ruban Noir, un mouvement de sensibilisation qui invite les gens à porter un Ruban Noir comme symbole d’unité, de force et de solidarité dans la lutte contre le racisme et l’intolérance. Pour en savoir plus ou prendre l’engagement, rendez-vous à blackribboncampaign.com.</w:t>
            </w:r>
          </w:p>
        </w:tc>
      </w:tr>
    </w:tbl>
    <w:p/>
    <w:p>
      <w:pPr>
        <w:pStyle w:val="Heading1"/>
      </w:pPr>
      <w:r>
        <w:t>Courriel de prise de contact</w:t>
      </w:r>
    </w:p>
    <w:p>
      <w:r>
        <w:t>Objet : Invitation média - Campagne du Ruban Noir</w:t>
      </w:r>
    </w:p>
    <w:tbl>
      <w:tblPr>
        <w:tblW w:type="auto" w:w="0"/>
        <w:jc w:val="center"/>
        <w:tblLook w:firstColumn="1" w:firstRow="1" w:lastColumn="0" w:lastRow="0" w:noHBand="0" w:noVBand="1" w:val="04A0"/>
      </w:tblPr>
      <w:tblGrid>
        <w:gridCol w:w="10224"/>
      </w:tblGrid>
      <w:tr>
        <w:tc>
          <w:tcPr>
            <w:tcW w:type="dxa" w:w="10224"/>
            <w:shd w:fill="F3E5B5"/>
            <w:tcMar>
              <w:top w:w="160" w:type="dxa"/>
              <w:start w:w="180" w:type="dxa"/>
              <w:bottom w:w="160" w:type="dxa"/>
              <w:end w:w="180" w:type="dxa"/>
            </w:tcMar>
          </w:tcPr>
          <w:p>
            <w:r>
              <w:t>Bonjour [NOM],</w:t>
              <w:br/>
              <w:br/>
              <w:t>Nous vous invitons à faire connaître la Campagne du Ruban Noir à votre auditoire pendant le Mois de l’histoire des Noirs. Nous pouvons fournir des scripts de 15, 30 et 60 secondes, des porte-parole, des points d’entrevue et des ressources visuelles. Le message central : porter un Ruban Noir comme symbole d’unité, de force et de solidarité dans la lutte contre le racisme et l’intolérance.</w:t>
              <w:br/>
              <w:br/>
              <w:t>Merci,</w:t>
              <w:br/>
              <w:t>[CONTACT DE LA CAMPAGNE]</w:t>
            </w:r>
          </w:p>
        </w:tc>
      </w:tr>
    </w:tbl>
    <w:p/>
    <w:p>
      <w:r>
        <w:br w:type="page"/>
      </w:r>
    </w:p>
    <w:p>
      <w:pPr>
        <w:pStyle w:val="Heading1"/>
      </w:pPr>
      <w:r>
        <w:t>Points d’entrevue</w:t>
      </w:r>
    </w:p>
    <w:p>
      <w:pPr>
        <w:pStyle w:val="ListBullet"/>
      </w:pPr>
      <w:r>
        <w:t>Pourquoi un Ruban Noir? Un symbole simple peut rendre un engagement visible et créer une conversation.</w:t>
      </w:r>
    </w:p>
    <w:p>
      <w:pPr>
        <w:pStyle w:val="ListBullet"/>
      </w:pPr>
      <w:r>
        <w:t>Qui peut participer? Individus, familles, écoles, milieux de travail, organisations et communautés.</w:t>
      </w:r>
    </w:p>
    <w:p>
      <w:pPr>
        <w:pStyle w:val="ListBullet"/>
      </w:pPr>
      <w:r>
        <w:t>Quelles sont les dates clés? Le premier et le dernier jour de février pour le port du noir; le ruban peut être porté tout au long de la campagne.</w:t>
      </w:r>
    </w:p>
    <w:p>
      <w:pPr>
        <w:pStyle w:val="ListBullet"/>
      </w:pPr>
      <w:r>
        <w:t>Que signifie le ruban? Unité, force et solidarité dans la lutte contre le racisme et l’intolérance.</w:t>
      </w:r>
    </w:p>
    <w:p>
      <w:pPr>
        <w:pStyle w:val="ListBullet"/>
      </w:pPr>
      <w:r>
        <w:t>Que peut faire le public? Porter le ruban, prendre l’engagement, commander des rubans, partager les ressources, organiser une activité et inviter d’autres personnes.</w:t>
      </w:r>
    </w:p>
    <w:p>
      <w:pPr>
        <w:pStyle w:val="Heading1"/>
      </w:pPr>
      <w:r>
        <w:t>Fiche d’information</w:t>
      </w:r>
    </w:p>
    <w:tbl>
      <w:tblPr>
        <w:tblStyle w:val="TableGrid"/>
        <w:tblW w:type="auto" w:w="0"/>
        <w:jc w:val="center"/>
        <w:tblLook w:firstColumn="1" w:firstRow="1" w:lastColumn="0" w:lastRow="0" w:noHBand="0" w:noVBand="1" w:val="04A0"/>
      </w:tblPr>
      <w:tblGrid>
        <w:gridCol w:w="5112"/>
        <w:gridCol w:w="5112"/>
      </w:tblGrid>
      <w:tr>
        <w:tc>
          <w:tcPr>
            <w:tcW w:type="dxa" w:w="5112"/>
          </w:tcPr>
          <w:p>
            <w:r>
              <w:rPr>
                <w:b/>
              </w:rPr>
              <w:t>Nom officiel</w:t>
            </w:r>
          </w:p>
        </w:tc>
        <w:tc>
          <w:tcPr>
            <w:tcW w:type="dxa" w:w="5112"/>
          </w:tcPr>
          <w:p>
            <w:r>
              <w:t>____________________________________________________________</w:t>
            </w:r>
          </w:p>
        </w:tc>
      </w:tr>
      <w:tr>
        <w:tc>
          <w:tcPr>
            <w:tcW w:type="dxa" w:w="5112"/>
          </w:tcPr>
          <w:p>
            <w:r>
              <w:rPr>
                <w:b/>
              </w:rPr>
              <w:t>Site Web</w:t>
            </w:r>
          </w:p>
        </w:tc>
        <w:tc>
          <w:tcPr>
            <w:tcW w:type="dxa" w:w="5112"/>
          </w:tcPr>
          <w:p>
            <w:r>
              <w:t>____________________________________________________________</w:t>
            </w:r>
          </w:p>
        </w:tc>
      </w:tr>
      <w:tr>
        <w:tc>
          <w:tcPr>
            <w:tcW w:type="dxa" w:w="5112"/>
          </w:tcPr>
          <w:p>
            <w:r>
              <w:rPr>
                <w:b/>
              </w:rPr>
              <w:t>Contact média</w:t>
            </w:r>
          </w:p>
        </w:tc>
        <w:tc>
          <w:tcPr>
            <w:tcW w:type="dxa" w:w="5112"/>
          </w:tcPr>
          <w:p>
            <w:r>
              <w:t>____________________________________________________________</w:t>
            </w:r>
          </w:p>
        </w:tc>
      </w:tr>
      <w:tr>
        <w:tc>
          <w:tcPr>
            <w:tcW w:type="dxa" w:w="5112"/>
          </w:tcPr>
          <w:p>
            <w:r>
              <w:rPr>
                <w:b/>
              </w:rPr>
              <w:t>Courriel</w:t>
            </w:r>
          </w:p>
        </w:tc>
        <w:tc>
          <w:tcPr>
            <w:tcW w:type="dxa" w:w="5112"/>
          </w:tcPr>
          <w:p>
            <w:r>
              <w:t>____________________________________________________________</w:t>
            </w:r>
          </w:p>
        </w:tc>
      </w:tr>
      <w:tr>
        <w:tc>
          <w:tcPr>
            <w:tcW w:type="dxa" w:w="5112"/>
          </w:tcPr>
          <w:p>
            <w:r>
              <w:rPr>
                <w:b/>
              </w:rPr>
              <w:t>Téléphone</w:t>
            </w:r>
          </w:p>
        </w:tc>
        <w:tc>
          <w:tcPr>
            <w:tcW w:type="dxa" w:w="5112"/>
          </w:tcPr>
          <w:p>
            <w:r>
              <w:t>____________________________________________________________</w:t>
            </w:r>
          </w:p>
        </w:tc>
      </w:tr>
      <w:tr>
        <w:tc>
          <w:tcPr>
            <w:tcW w:type="dxa" w:w="5112"/>
          </w:tcPr>
          <w:p>
            <w:r>
              <w:rPr>
                <w:b/>
              </w:rPr>
              <w:t>Date / événement local</w:t>
            </w:r>
          </w:p>
        </w:tc>
        <w:tc>
          <w:tcPr>
            <w:tcW w:type="dxa" w:w="5112"/>
          </w:tcPr>
          <w:p>
            <w:r>
              <w:t>____________________________________________________________</w:t>
            </w:r>
          </w:p>
        </w:tc>
      </w:tr>
    </w:tbl>
    <w:p/>
    <w:p>
      <w:r>
        <w:br w:type="page"/>
      </w:r>
    </w:p>
    <w:p>
      <w:pPr>
        <w:pStyle w:val="Heading1"/>
      </w:pPr>
      <w:r>
        <w:t>Notes de production</w:t>
      </w:r>
    </w:p>
    <w:p>
      <w:pPr>
        <w:pStyle w:val="ListBullet"/>
      </w:pPr>
      <w:r>
        <w:t>Prononcer clairement blackribboncampaign.com.</w:t>
      </w:r>
    </w:p>
    <w:p>
      <w:pPr>
        <w:pStyle w:val="ListBullet"/>
      </w:pPr>
      <w:r>
        <w:t>Ne pas présenter la campagne comme un organisme de bienfaisance si ce statut n’est pas applicable.</w:t>
      </w:r>
    </w:p>
    <w:p>
      <w:pPr>
        <w:pStyle w:val="ListBullet"/>
      </w:pPr>
      <w:r>
        <w:t>La participation est volontaire.</w:t>
      </w:r>
    </w:p>
    <w:p>
      <w:pPr>
        <w:pStyle w:val="ListBullet"/>
      </w:pPr>
      <w:r>
        <w:t>Éviter les formulations partisanes; le message porte sur l’unité, la dignité, la solidarité et l’action contre le racisme et l’intolérance.</w:t>
      </w:r>
    </w:p>
    <w:p>
      <w:pPr>
        <w:pStyle w:val="ListBullet"/>
      </w:pPr>
      <w:r>
        <w:t>Demander les fichiers audio, images et logos officiels au besoin.</w:t>
      </w:r>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5A5A5A"/>
        <w:sz w:val="16"/>
      </w:rPr>
      <w:t>blackribboncampaign.com  |  Unité. Force. Action.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Pr>
        <w:p>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ribbon-mark-fr-pack.png"/>
                        <pic:cNvPicPr/>
                      </pic:nvPicPr>
                      <pic:blipFill>
                        <a:blip r:embed="rId1"/>
                        <a:stretch>
                          <a:fillRect/>
                        </a:stretch>
                      </pic:blipFill>
                      <pic:spPr>
                        <a:xfrm>
                          <a:off x="0" y="0"/>
                          <a:ext cx="384048" cy="384048"/>
                        </a:xfrm>
                        <a:prstGeom prst="rect"/>
                      </pic:spPr>
                    </pic:pic>
                  </a:graphicData>
                </a:graphic>
              </wp:inline>
            </w:drawing>
          </w:r>
        </w:p>
      </w:tc>
      <w:tc>
        <w:tcPr>
          <w:tcW w:type="dxa" w:w="5040"/>
        </w:tcPr>
        <w:p>
          <w:pPr>
            <w:jc w:val="right"/>
          </w:pPr>
          <w:r>
            <w:rPr>
              <w:rFonts w:ascii="Liberation Sans" w:hAnsi="Liberation Sans"/>
              <w:b/>
              <w:sz w:val="18"/>
            </w:rPr>
            <w:t>BLACK RIBBON CAMPAIGN</w:t>
          </w:r>
          <w:r>
            <w:rPr>
              <w:sz w:val="15"/>
            </w:rPr>
            <w:br/>
            <w:t>RESSOURCES FRANÇAISES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erif" w:hAnsi="Liberation Serif"/>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b/>
      <w:color w:val="17365D" w:themeColor="text2" w:themeShade="BF"/>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